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i w:val="1"/>
          <w:sz w:val="24"/>
          <w:szCs w:val="24"/>
        </w:rPr>
      </w:pPr>
      <w:r w:rsidDel="00000000" w:rsidR="00000000" w:rsidRPr="00000000">
        <w:rPr>
          <w:i w:val="1"/>
          <w:sz w:val="24"/>
          <w:szCs w:val="24"/>
        </w:rPr>
        <w:drawing>
          <wp:inline distB="114300" distT="114300" distL="114300" distR="114300">
            <wp:extent cx="2587320" cy="538163"/>
            <wp:effectExtent b="0" l="0" r="0" t="0"/>
            <wp:docPr id="1" name="image2.png"/>
            <a:graphic>
              <a:graphicData uri="http://schemas.openxmlformats.org/drawingml/2006/picture">
                <pic:pic>
                  <pic:nvPicPr>
                    <pic:cNvPr id="0" name="image2.png"/>
                    <pic:cNvPicPr preferRelativeResize="0"/>
                  </pic:nvPicPr>
                  <pic:blipFill>
                    <a:blip r:embed="rId6"/>
                    <a:srcRect b="18604" l="9119" r="8139" t="20930"/>
                    <a:stretch>
                      <a:fillRect/>
                    </a:stretch>
                  </pic:blipFill>
                  <pic:spPr>
                    <a:xfrm>
                      <a:off x="0" y="0"/>
                      <a:ext cx="2587320" cy="5381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pPr>
      <w:r w:rsidDel="00000000" w:rsidR="00000000" w:rsidRPr="00000000">
        <w:rPr>
          <w:rtl w:val="0"/>
        </w:rPr>
        <w:t xml:space="preserve"> </w:t>
      </w:r>
    </w:p>
    <w:p w:rsidR="00000000" w:rsidDel="00000000" w:rsidP="00000000" w:rsidRDefault="00000000" w:rsidRPr="00000000" w14:paraId="00000003">
      <w:pPr>
        <w:spacing w:line="276" w:lineRule="auto"/>
        <w:rPr/>
      </w:pPr>
      <w:r w:rsidDel="00000000" w:rsidR="00000000" w:rsidRPr="00000000">
        <w:rPr>
          <w:b w:val="1"/>
          <w:rtl w:val="0"/>
        </w:rPr>
        <w:t xml:space="preserve">EMBARGOED FOR</w:t>
        <w:tab/>
      </w:r>
      <w:r w:rsidDel="00000000" w:rsidR="00000000" w:rsidRPr="00000000">
        <w:rPr>
          <w:rtl w:val="0"/>
        </w:rPr>
        <w:tab/>
        <w:tab/>
        <w:tab/>
        <w:tab/>
      </w:r>
      <w:r w:rsidDel="00000000" w:rsidR="00000000" w:rsidRPr="00000000">
        <w:rPr>
          <w:b w:val="1"/>
          <w:rtl w:val="0"/>
        </w:rPr>
        <w:t xml:space="preserve">Contact:</w:t>
      </w:r>
      <w:r w:rsidDel="00000000" w:rsidR="00000000" w:rsidRPr="00000000">
        <w:rPr>
          <w:rtl w:val="0"/>
        </w:rPr>
        <w:t xml:space="preserve"> Nikki Hernandez, Stukent, Inc.</w:t>
      </w:r>
    </w:p>
    <w:p w:rsidR="00000000" w:rsidDel="00000000" w:rsidP="00000000" w:rsidRDefault="00000000" w:rsidRPr="00000000" w14:paraId="00000004">
      <w:pPr>
        <w:spacing w:line="276" w:lineRule="auto"/>
        <w:rPr>
          <w:b w:val="1"/>
        </w:rPr>
      </w:pPr>
      <w:r w:rsidDel="00000000" w:rsidR="00000000" w:rsidRPr="00000000">
        <w:rPr>
          <w:b w:val="1"/>
          <w:rtl w:val="0"/>
        </w:rPr>
        <w:t xml:space="preserve">November 4, 2019</w:t>
      </w:r>
      <w:r w:rsidDel="00000000" w:rsidR="00000000" w:rsidRPr="00000000">
        <w:rPr>
          <w:rtl w:val="0"/>
        </w:rPr>
      </w:r>
    </w:p>
    <w:p w:rsidR="00000000" w:rsidDel="00000000" w:rsidP="00000000" w:rsidRDefault="00000000" w:rsidRPr="00000000" w14:paraId="00000005">
      <w:pPr>
        <w:spacing w:line="276" w:lineRule="auto"/>
        <w:ind w:left="4320" w:firstLine="720"/>
        <w:rPr/>
      </w:pPr>
      <w:r w:rsidDel="00000000" w:rsidR="00000000" w:rsidRPr="00000000">
        <w:rPr>
          <w:b w:val="1"/>
          <w:rtl w:val="0"/>
        </w:rPr>
        <w:t xml:space="preserve">Phone:</w:t>
      </w:r>
      <w:r w:rsidDel="00000000" w:rsidR="00000000" w:rsidRPr="00000000">
        <w:rPr>
          <w:rtl w:val="0"/>
        </w:rPr>
        <w:t xml:space="preserve"> (855) 788-5368</w:t>
      </w:r>
    </w:p>
    <w:p w:rsidR="00000000" w:rsidDel="00000000" w:rsidP="00000000" w:rsidRDefault="00000000" w:rsidRPr="00000000" w14:paraId="00000006">
      <w:pPr>
        <w:spacing w:line="276" w:lineRule="auto"/>
        <w:rPr/>
      </w:pPr>
      <w:r w:rsidDel="00000000" w:rsidR="00000000" w:rsidRPr="00000000">
        <w:rPr>
          <w:rtl w:val="0"/>
        </w:rPr>
        <w:t xml:space="preserve"> </w:t>
      </w:r>
    </w:p>
    <w:p w:rsidR="00000000" w:rsidDel="00000000" w:rsidP="00000000" w:rsidRDefault="00000000" w:rsidRPr="00000000" w14:paraId="00000007">
      <w:pPr>
        <w:spacing w:line="276" w:lineRule="auto"/>
        <w:ind w:left="5040" w:firstLine="0"/>
        <w:rPr>
          <w:b w:val="1"/>
          <w:sz w:val="28"/>
          <w:szCs w:val="28"/>
        </w:rPr>
      </w:pPr>
      <w:r w:rsidDel="00000000" w:rsidR="00000000" w:rsidRPr="00000000">
        <w:rPr>
          <w:b w:val="1"/>
          <w:rtl w:val="0"/>
        </w:rPr>
        <w:t xml:space="preserve">Email:</w:t>
      </w:r>
      <w:r w:rsidDel="00000000" w:rsidR="00000000" w:rsidRPr="00000000">
        <w:rPr>
          <w:rtl w:val="0"/>
        </w:rPr>
        <w:t xml:space="preserve"> nikki.hernandez@stukent.com</w:t>
      </w:r>
      <w:r w:rsidDel="00000000" w:rsidR="00000000" w:rsidRPr="00000000">
        <w:rPr>
          <w:rtl w:val="0"/>
        </w:rPr>
      </w:r>
    </w:p>
    <w:p w:rsidR="00000000" w:rsidDel="00000000" w:rsidP="00000000" w:rsidRDefault="00000000" w:rsidRPr="00000000" w14:paraId="00000008">
      <w:pPr>
        <w:pStyle w:val="Heading1"/>
        <w:keepNext w:val="0"/>
        <w:keepLines w:val="0"/>
        <w:spacing w:before="480" w:line="240" w:lineRule="auto"/>
        <w:jc w:val="center"/>
        <w:rPr>
          <w:b w:val="1"/>
          <w:sz w:val="20"/>
          <w:szCs w:val="20"/>
        </w:rPr>
      </w:pPr>
      <w:bookmarkStart w:colFirst="0" w:colLast="0" w:name="_itnmrkjwsmyj" w:id="0"/>
      <w:bookmarkEnd w:id="0"/>
      <w:r w:rsidDel="00000000" w:rsidR="00000000" w:rsidRPr="00000000">
        <w:rPr>
          <w:b w:val="1"/>
          <w:sz w:val="28"/>
          <w:szCs w:val="28"/>
          <w:rtl w:val="0"/>
        </w:rPr>
        <w:t xml:space="preserve">STUKENT GIVES</w:t>
      </w:r>
      <w:r w:rsidDel="00000000" w:rsidR="00000000" w:rsidRPr="00000000">
        <w:rPr>
          <w:b w:val="1"/>
          <w:sz w:val="28"/>
          <w:szCs w:val="28"/>
          <w:rtl w:val="0"/>
        </w:rPr>
        <w:t xml:space="preserve"> $4 MILLION </w:t>
      </w:r>
      <w:r w:rsidDel="00000000" w:rsidR="00000000" w:rsidRPr="00000000">
        <w:rPr>
          <w:b w:val="1"/>
          <w:sz w:val="28"/>
          <w:szCs w:val="28"/>
          <w:rtl w:val="0"/>
        </w:rPr>
        <w:t xml:space="preserve">TO FUND THE PROGRESSION OF FINANCIAL LITERACY EDUCATION</w:t>
      </w:r>
      <w:r w:rsidDel="00000000" w:rsidR="00000000" w:rsidRPr="00000000">
        <w:rPr>
          <w:rtl w:val="0"/>
        </w:rPr>
      </w:r>
    </w:p>
    <w:p w:rsidR="00000000" w:rsidDel="00000000" w:rsidP="00000000" w:rsidRDefault="00000000" w:rsidRPr="00000000" w14:paraId="00000009">
      <w:pPr>
        <w:spacing w:line="276" w:lineRule="auto"/>
        <w:jc w:val="center"/>
        <w:rPr>
          <w:i w:val="1"/>
          <w:sz w:val="24"/>
          <w:szCs w:val="24"/>
        </w:rPr>
      </w:pPr>
      <w:r w:rsidDel="00000000" w:rsidR="00000000" w:rsidRPr="00000000">
        <w:rPr>
          <w:i w:val="1"/>
          <w:sz w:val="24"/>
          <w:szCs w:val="24"/>
          <w:rtl w:val="0"/>
        </w:rPr>
        <w:t xml:space="preserve">Education technology company takes on financial literacy in high schools</w:t>
      </w:r>
      <w:r w:rsidDel="00000000" w:rsidR="00000000" w:rsidRPr="00000000">
        <w:rPr>
          <w:rtl w:val="0"/>
        </w:rPr>
      </w:r>
    </w:p>
    <w:p w:rsidR="00000000" w:rsidDel="00000000" w:rsidP="00000000" w:rsidRDefault="00000000" w:rsidRPr="00000000" w14:paraId="0000000A">
      <w:pPr>
        <w:spacing w:line="276" w:lineRule="auto"/>
        <w:jc w:val="center"/>
        <w:rPr>
          <w:i w:val="1"/>
          <w:sz w:val="24"/>
          <w:szCs w:val="24"/>
        </w:rPr>
      </w:pPr>
      <w:r w:rsidDel="00000000" w:rsidR="00000000" w:rsidRPr="00000000">
        <w:rPr>
          <w:rtl w:val="0"/>
        </w:rPr>
      </w:r>
    </w:p>
    <w:p w:rsidR="00000000" w:rsidDel="00000000" w:rsidP="00000000" w:rsidRDefault="00000000" w:rsidRPr="00000000" w14:paraId="0000000B">
      <w:pPr>
        <w:spacing w:line="480" w:lineRule="auto"/>
        <w:rPr/>
      </w:pPr>
      <w:r w:rsidDel="00000000" w:rsidR="00000000" w:rsidRPr="00000000">
        <w:rPr>
          <w:b w:val="1"/>
          <w:rtl w:val="0"/>
        </w:rPr>
        <w:t xml:space="preserve">IDAHO FALLS, Idaho — </w:t>
      </w:r>
      <w:r w:rsidDel="00000000" w:rsidR="00000000" w:rsidRPr="00000000">
        <w:rPr>
          <w:rtl w:val="0"/>
        </w:rPr>
        <w:t xml:space="preserve">To further the goal of increasing financial literacy in young adults, edtech company Stukent, is offering $4 million in grant money to provide personal finance courseware entirely free to </w:t>
      </w:r>
      <w:r w:rsidDel="00000000" w:rsidR="00000000" w:rsidRPr="00000000">
        <w:rPr>
          <w:rtl w:val="0"/>
        </w:rPr>
        <w:t xml:space="preserve">2,000 high schools</w:t>
      </w:r>
      <w:r w:rsidDel="00000000" w:rsidR="00000000" w:rsidRPr="00000000">
        <w:rPr>
          <w:rtl w:val="0"/>
        </w:rPr>
        <w:t xml:space="preserve"> nationwide for the 2019–2020 school year. This courseware</w:t>
      </w:r>
      <w:r w:rsidDel="00000000" w:rsidR="00000000" w:rsidRPr="00000000">
        <w:rPr>
          <w:rtl w:val="0"/>
        </w:rPr>
        <w:t xml:space="preserve"> is first of its kind and connects simulated decision-making with real results. </w:t>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3838575</wp:posOffset>
            </wp:positionH>
            <wp:positionV relativeFrom="paragraph">
              <wp:posOffset>1295400</wp:posOffset>
            </wp:positionV>
            <wp:extent cx="2290763" cy="2290763"/>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90763" cy="2290763"/>
                    </a:xfrm>
                    <a:prstGeom prst="rect"/>
                    <a:ln/>
                  </pic:spPr>
                </pic:pic>
              </a:graphicData>
            </a:graphic>
          </wp:anchor>
        </w:drawing>
      </w:r>
    </w:p>
    <w:p w:rsidR="00000000" w:rsidDel="00000000" w:rsidP="00000000" w:rsidRDefault="00000000" w:rsidRPr="00000000" w14:paraId="0000000C">
      <w:pPr>
        <w:spacing w:line="480" w:lineRule="auto"/>
        <w:rPr/>
      </w:pPr>
      <w:r w:rsidDel="00000000" w:rsidR="00000000" w:rsidRPr="00000000">
        <w:rPr>
          <w:rtl w:val="0"/>
        </w:rPr>
        <w:t xml:space="preserve"> </w:t>
      </w:r>
    </w:p>
    <w:p w:rsidR="00000000" w:rsidDel="00000000" w:rsidP="00000000" w:rsidRDefault="00000000" w:rsidRPr="00000000" w14:paraId="0000000D">
      <w:pPr>
        <w:spacing w:line="480" w:lineRule="auto"/>
        <w:rPr/>
      </w:pPr>
      <w:r w:rsidDel="00000000" w:rsidR="00000000" w:rsidRPr="00000000">
        <w:rPr>
          <w:rtl w:val="0"/>
        </w:rPr>
        <w:t xml:space="preserve">The Mimic Personal Finance simulation, formerly known as Real-World Classroom Life Lab, gives students hands-on experience in personal finance and decision making. It creates an environment where students' choices dictate the learning experience. </w:t>
      </w:r>
    </w:p>
    <w:p w:rsidR="00000000" w:rsidDel="00000000" w:rsidP="00000000" w:rsidRDefault="00000000" w:rsidRPr="00000000" w14:paraId="0000000E">
      <w:pPr>
        <w:spacing w:line="480" w:lineRule="auto"/>
        <w:rPr/>
      </w:pPr>
      <w:r w:rsidDel="00000000" w:rsidR="00000000" w:rsidRPr="00000000">
        <w:rPr>
          <w:rtl w:val="0"/>
        </w:rPr>
      </w:r>
    </w:p>
    <w:p w:rsidR="00000000" w:rsidDel="00000000" w:rsidP="00000000" w:rsidRDefault="00000000" w:rsidRPr="00000000" w14:paraId="0000000F">
      <w:pPr>
        <w:spacing w:line="480" w:lineRule="auto"/>
        <w:rPr/>
        <w:sectPr>
          <w:pgSz w:h="15840" w:w="12240"/>
          <w:pgMar w:bottom="1440" w:top="1440" w:left="1440" w:right="1440" w:header="720" w:footer="720"/>
          <w:pgNumType w:start="1"/>
        </w:sectPr>
      </w:pPr>
      <w:r w:rsidDel="00000000" w:rsidR="00000000" w:rsidRPr="00000000">
        <w:rPr>
          <w:rtl w:val="0"/>
        </w:rPr>
        <w:t xml:space="preserve">Students will learn how to</w:t>
      </w:r>
      <w:r w:rsidDel="00000000" w:rsidR="00000000" w:rsidRPr="00000000">
        <w:rPr>
          <w:rtl w:val="0"/>
        </w:rPr>
      </w:r>
    </w:p>
    <w:p w:rsidR="00000000" w:rsidDel="00000000" w:rsidP="00000000" w:rsidRDefault="00000000" w:rsidRPr="00000000" w14:paraId="00000010">
      <w:pPr>
        <w:numPr>
          <w:ilvl w:val="0"/>
          <w:numId w:val="1"/>
        </w:numPr>
        <w:spacing w:line="480" w:lineRule="auto"/>
        <w:ind w:left="720" w:hanging="360"/>
        <w:rPr>
          <w:u w:val="none"/>
        </w:rPr>
      </w:pPr>
      <w:r w:rsidDel="00000000" w:rsidR="00000000" w:rsidRPr="00000000">
        <w:rPr>
          <w:rtl w:val="0"/>
        </w:rPr>
        <w:t xml:space="preserve">develop a credit score</w:t>
      </w:r>
    </w:p>
    <w:p w:rsidR="00000000" w:rsidDel="00000000" w:rsidP="00000000" w:rsidRDefault="00000000" w:rsidRPr="00000000" w14:paraId="00000011">
      <w:pPr>
        <w:numPr>
          <w:ilvl w:val="0"/>
          <w:numId w:val="1"/>
        </w:numPr>
        <w:spacing w:line="480" w:lineRule="auto"/>
        <w:ind w:left="720" w:hanging="360"/>
        <w:rPr>
          <w:u w:val="none"/>
        </w:rPr>
      </w:pPr>
      <w:r w:rsidDel="00000000" w:rsidR="00000000" w:rsidRPr="00000000">
        <w:rPr>
          <w:rtl w:val="0"/>
        </w:rPr>
        <w:t xml:space="preserve">budget for major purchases</w:t>
      </w:r>
    </w:p>
    <w:p w:rsidR="00000000" w:rsidDel="00000000" w:rsidP="00000000" w:rsidRDefault="00000000" w:rsidRPr="00000000" w14:paraId="00000012">
      <w:pPr>
        <w:numPr>
          <w:ilvl w:val="0"/>
          <w:numId w:val="1"/>
        </w:numPr>
        <w:spacing w:line="480" w:lineRule="auto"/>
        <w:ind w:left="720" w:hanging="360"/>
        <w:rPr>
          <w:u w:val="none"/>
        </w:rPr>
      </w:pPr>
      <w:r w:rsidDel="00000000" w:rsidR="00000000" w:rsidRPr="00000000">
        <w:rPr>
          <w:rtl w:val="0"/>
        </w:rPr>
        <w:t xml:space="preserve">invest in the stock market</w:t>
      </w:r>
    </w:p>
    <w:p w:rsidR="00000000" w:rsidDel="00000000" w:rsidP="00000000" w:rsidRDefault="00000000" w:rsidRPr="00000000" w14:paraId="00000013">
      <w:pPr>
        <w:numPr>
          <w:ilvl w:val="0"/>
          <w:numId w:val="1"/>
        </w:numPr>
        <w:spacing w:line="480" w:lineRule="auto"/>
        <w:ind w:left="720" w:hanging="360"/>
        <w:rPr>
          <w:u w:val="none"/>
        </w:rPr>
      </w:pPr>
      <w:r w:rsidDel="00000000" w:rsidR="00000000" w:rsidRPr="00000000">
        <w:rPr>
          <w:rtl w:val="0"/>
        </w:rPr>
        <w:t xml:space="preserve">use online banking platforms </w:t>
      </w:r>
    </w:p>
    <w:p w:rsidR="00000000" w:rsidDel="00000000" w:rsidP="00000000" w:rsidRDefault="00000000" w:rsidRPr="00000000" w14:paraId="00000014">
      <w:pPr>
        <w:numPr>
          <w:ilvl w:val="0"/>
          <w:numId w:val="1"/>
        </w:numPr>
        <w:spacing w:line="480" w:lineRule="auto"/>
        <w:ind w:left="720" w:hanging="360"/>
        <w:rPr>
          <w:u w:val="none"/>
        </w:rPr>
        <w:sectPr>
          <w:type w:val="continuous"/>
          <w:pgSz w:h="15840" w:w="12240"/>
          <w:pgMar w:bottom="1440" w:top="1440" w:left="1440" w:right="1440" w:header="720" w:footer="720"/>
          <w:cols w:equalWidth="0" w:num="2">
            <w:col w:space="720" w:w="4320"/>
            <w:col w:space="0" w:w="4320"/>
          </w:cols>
        </w:sectPr>
      </w:pPr>
      <w:r w:rsidDel="00000000" w:rsidR="00000000" w:rsidRPr="00000000">
        <w:rPr>
          <w:rtl w:val="0"/>
        </w:rPr>
        <w:t xml:space="preserve">and much more! </w:t>
      </w:r>
      <w:r w:rsidDel="00000000" w:rsidR="00000000" w:rsidRPr="00000000">
        <w:rPr>
          <w:rtl w:val="0"/>
        </w:rPr>
      </w:r>
    </w:p>
    <w:p w:rsidR="00000000" w:rsidDel="00000000" w:rsidP="00000000" w:rsidRDefault="00000000" w:rsidRPr="00000000" w14:paraId="00000015">
      <w:pPr>
        <w:spacing w:line="480" w:lineRule="auto"/>
        <w:rPr>
          <w:highlight w:val="white"/>
        </w:rPr>
      </w:pPr>
      <w:r w:rsidDel="00000000" w:rsidR="00000000" w:rsidRPr="00000000">
        <w:rPr>
          <w:highlight w:val="white"/>
          <w:rtl w:val="0"/>
        </w:rPr>
        <w:t xml:space="preserve">A </w:t>
      </w:r>
      <w:hyperlink r:id="rId8">
        <w:r w:rsidDel="00000000" w:rsidR="00000000" w:rsidRPr="00000000">
          <w:rPr>
            <w:color w:val="1155cc"/>
            <w:highlight w:val="white"/>
            <w:u w:val="single"/>
            <w:rtl w:val="0"/>
          </w:rPr>
          <w:t xml:space="preserve">recent study</w:t>
        </w:r>
      </w:hyperlink>
      <w:r w:rsidDel="00000000" w:rsidR="00000000" w:rsidRPr="00000000">
        <w:rPr>
          <w:highlight w:val="white"/>
          <w:rtl w:val="0"/>
        </w:rPr>
        <w:t xml:space="preserve"> found that 56 percent of respondents don’t have any money left over at the end of the month. In addition, 35 percent are not saving for retirement. R</w:t>
      </w:r>
      <w:r w:rsidDel="00000000" w:rsidR="00000000" w:rsidRPr="00000000">
        <w:rPr>
          <w:highlight w:val="white"/>
          <w:rtl w:val="0"/>
        </w:rPr>
        <w:t xml:space="preserve">oughly 90 percent of respondents said they believe personal finance should be required to graduate high school. </w:t>
      </w:r>
    </w:p>
    <w:p w:rsidR="00000000" w:rsidDel="00000000" w:rsidP="00000000" w:rsidRDefault="00000000" w:rsidRPr="00000000" w14:paraId="00000016">
      <w:pPr>
        <w:spacing w:line="480" w:lineRule="auto"/>
        <w:rPr/>
      </w:pPr>
      <w:r w:rsidDel="00000000" w:rsidR="00000000" w:rsidRPr="00000000">
        <w:rPr>
          <w:highlight w:val="white"/>
          <w:rtl w:val="0"/>
        </w:rPr>
        <w:br w:type="textWrapping"/>
        <w:t xml:space="preserve">“It doesn’t matter what career you have, where you live, or what level of education you achieve. Everyone will benefit from developing good money management skills and understanding,” says Stukent VP of Classroom Experience, Brian Bean.</w:t>
        <w:br w:type="textWrapping"/>
        <w:br w:type="textWrapping"/>
        <w:t xml:space="preserve">Financial literacy is finally becoming a priority. </w:t>
      </w:r>
      <w:r w:rsidDel="00000000" w:rsidR="00000000" w:rsidRPr="00000000">
        <w:rPr>
          <w:highlight w:val="white"/>
          <w:rtl w:val="0"/>
        </w:rPr>
        <w:t xml:space="preserve">So far, </w:t>
      </w:r>
      <w:hyperlink r:id="rId9">
        <w:r w:rsidDel="00000000" w:rsidR="00000000" w:rsidRPr="00000000">
          <w:rPr>
            <w:color w:val="1155cc"/>
            <w:highlight w:val="white"/>
            <w:u w:val="single"/>
            <w:rtl w:val="0"/>
          </w:rPr>
          <w:t xml:space="preserve">17</w:t>
        </w:r>
      </w:hyperlink>
      <w:hyperlink r:id="rId10">
        <w:r w:rsidDel="00000000" w:rsidR="00000000" w:rsidRPr="00000000">
          <w:rPr>
            <w:color w:val="1155cc"/>
            <w:highlight w:val="white"/>
            <w:u w:val="single"/>
            <w:rtl w:val="0"/>
          </w:rPr>
          <w:t xml:space="preserve"> states</w:t>
        </w:r>
      </w:hyperlink>
      <w:r w:rsidDel="00000000" w:rsidR="00000000" w:rsidRPr="00000000">
        <w:rPr>
          <w:highlight w:val="white"/>
          <w:rtl w:val="0"/>
        </w:rPr>
        <w:t xml:space="preserve"> have made</w:t>
      </w:r>
      <w:r w:rsidDel="00000000" w:rsidR="00000000" w:rsidRPr="00000000">
        <w:rPr>
          <w:highlight w:val="white"/>
          <w:rtl w:val="0"/>
        </w:rPr>
        <w:t xml:space="preserve"> personal fina</w:t>
      </w:r>
      <w:r w:rsidDel="00000000" w:rsidR="00000000" w:rsidRPr="00000000">
        <w:rPr>
          <w:highlight w:val="white"/>
          <w:rtl w:val="0"/>
        </w:rPr>
        <w:t xml:space="preserve">nce courses or units a graduation requirement in their high schools, and several others have pending legislation on the topic.</w:t>
      </w:r>
      <w:r w:rsidDel="00000000" w:rsidR="00000000" w:rsidRPr="00000000">
        <w:rPr>
          <w:rtl w:val="0"/>
        </w:rPr>
      </w:r>
    </w:p>
    <w:p w:rsidR="00000000" w:rsidDel="00000000" w:rsidP="00000000" w:rsidRDefault="00000000" w:rsidRPr="00000000" w14:paraId="00000017">
      <w:pPr>
        <w:spacing w:line="480" w:lineRule="auto"/>
        <w:rPr/>
      </w:pPr>
      <w:r w:rsidDel="00000000" w:rsidR="00000000" w:rsidRPr="00000000">
        <w:rPr>
          <w:rtl w:val="0"/>
        </w:rPr>
      </w:r>
    </w:p>
    <w:p w:rsidR="00000000" w:rsidDel="00000000" w:rsidP="00000000" w:rsidRDefault="00000000" w:rsidRPr="00000000" w14:paraId="00000018">
      <w:pPr>
        <w:spacing w:line="480" w:lineRule="auto"/>
        <w:rPr/>
      </w:pPr>
      <w:r w:rsidDel="00000000" w:rsidR="00000000" w:rsidRPr="00000000">
        <w:rPr>
          <w:rtl w:val="0"/>
        </w:rPr>
        <w:t xml:space="preserve">For more information on Mimic Personal Finance, visit </w:t>
      </w:r>
      <w:hyperlink r:id="rId11">
        <w:r w:rsidDel="00000000" w:rsidR="00000000" w:rsidRPr="00000000">
          <w:rPr>
            <w:color w:val="1155cc"/>
            <w:sz w:val="23"/>
            <w:szCs w:val="23"/>
            <w:u w:val="single"/>
            <w:rtl w:val="0"/>
          </w:rPr>
          <w:t xml:space="preserve">https://www.stukent.com/mimic-personal-finance/</w:t>
        </w:r>
      </w:hyperlink>
      <w:r w:rsidDel="00000000" w:rsidR="00000000" w:rsidRPr="00000000">
        <w:rPr>
          <w:rtl w:val="0"/>
        </w:rPr>
        <w:t xml:space="preserve">.</w:t>
      </w:r>
      <w:r w:rsidDel="00000000" w:rsidR="00000000" w:rsidRPr="00000000">
        <w:rPr>
          <w:rtl w:val="0"/>
        </w:rPr>
        <w:t xml:space="preserve"> To request a press kit, </w:t>
      </w:r>
      <w:r w:rsidDel="00000000" w:rsidR="00000000" w:rsidRPr="00000000">
        <w:rPr>
          <w:rtl w:val="0"/>
        </w:rPr>
        <w:t xml:space="preserve">feel free to contact Nikki Hernandez at nikki.hernandez</w:t>
      </w:r>
      <w:r w:rsidDel="00000000" w:rsidR="00000000" w:rsidRPr="00000000">
        <w:rPr>
          <w:rtl w:val="0"/>
        </w:rPr>
        <w:t xml:space="preserve">@stukent.com.</w:t>
      </w:r>
      <w:r w:rsidDel="00000000" w:rsidR="00000000" w:rsidRPr="00000000">
        <w:rPr>
          <w:rtl w:val="0"/>
        </w:rPr>
      </w:r>
    </w:p>
    <w:p w:rsidR="00000000" w:rsidDel="00000000" w:rsidP="00000000" w:rsidRDefault="00000000" w:rsidRPr="00000000" w14:paraId="00000019">
      <w:pPr>
        <w:spacing w:line="480" w:lineRule="auto"/>
        <w:rPr/>
      </w:pPr>
      <w:r w:rsidDel="00000000" w:rsidR="00000000" w:rsidRPr="00000000">
        <w:rPr>
          <w:rtl w:val="0"/>
        </w:rPr>
        <w:t xml:space="preserve"> </w:t>
      </w:r>
    </w:p>
    <w:p w:rsidR="00000000" w:rsidDel="00000000" w:rsidP="00000000" w:rsidRDefault="00000000" w:rsidRPr="00000000" w14:paraId="0000001A">
      <w:pPr>
        <w:spacing w:line="480" w:lineRule="auto"/>
        <w:rPr/>
      </w:pPr>
      <w:r w:rsidDel="00000000" w:rsidR="00000000" w:rsidRPr="00000000">
        <w:rPr>
          <w:i w:val="1"/>
          <w:rtl w:val="0"/>
        </w:rPr>
        <w:t xml:space="preserve">Stukent, Inc. provides digital courseware for high schools and higher education while fulfilling its mission to help educators help students help the world. Stukent courseware — which has been used by over 1,900 instructors in 57 countries — includes first-in-the world simulations, continuously updated digital textbooks, and expert mentoring sessions by industry professionals.</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type w:val="continuous"/>
      <w:pgSz w:h="15840" w:w="12240"/>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stukent.com/mimic-personal-finance/" TargetMode="External"/><Relationship Id="rId10" Type="http://schemas.openxmlformats.org/officeDocument/2006/relationships/hyperlink" Target="https://www.councilforeconed.org/policy-and-advocacy/survey-of-the-states/" TargetMode="External"/><Relationship Id="rId9" Type="http://schemas.openxmlformats.org/officeDocument/2006/relationships/hyperlink" Target="https://www.councilforeconed.org/policy-and-advocacy/survey-of-the-states/"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blog.equifax.com/credit/financial-liter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